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60EF" w14:textId="77777777" w:rsidR="008759FE" w:rsidRDefault="008759FE" w:rsidP="008759FE">
      <w:pPr>
        <w:spacing w:line="259" w:lineRule="auto"/>
        <w:rPr>
          <w:rFonts w:eastAsia="Calibri" w:cs="Times New Roman"/>
          <w:b/>
          <w:bCs/>
          <w:kern w:val="0"/>
          <w:sz w:val="20"/>
          <w:szCs w:val="20"/>
          <w:u w:val="single"/>
          <w14:ligatures w14:val="none"/>
        </w:rPr>
      </w:pPr>
    </w:p>
    <w:p w14:paraId="74736BDD" w14:textId="6BDF0542" w:rsidR="008759FE" w:rsidRPr="00FE0F1B" w:rsidRDefault="00CB5556" w:rsidP="008759FE">
      <w:pPr>
        <w:spacing w:line="259" w:lineRule="auto"/>
        <w:jc w:val="center"/>
        <w:rPr>
          <w:rFonts w:eastAsia="Calibri" w:cs="Times New Roman"/>
          <w:b/>
          <w:bCs/>
          <w:kern w:val="0"/>
          <w:sz w:val="20"/>
          <w:szCs w:val="20"/>
          <w:u w:val="single"/>
          <w14:ligatures w14:val="none"/>
        </w:rPr>
      </w:pPr>
      <w:r>
        <w:rPr>
          <w:rFonts w:eastAsia="Calibri" w:cs="Times New Roman"/>
          <w:b/>
          <w:bCs/>
          <w:kern w:val="0"/>
          <w:sz w:val="20"/>
          <w:szCs w:val="20"/>
          <w:u w:val="single"/>
          <w14:ligatures w14:val="none"/>
        </w:rPr>
        <w:t>Introduction</w:t>
      </w:r>
    </w:p>
    <w:p w14:paraId="0AFE0296" w14:textId="77777777" w:rsidR="008759FE" w:rsidRPr="00FE0F1B" w:rsidRDefault="008759FE" w:rsidP="008759FE">
      <w:pPr>
        <w:spacing w:line="259" w:lineRule="auto"/>
        <w:rPr>
          <w:rFonts w:eastAsia="Calibri" w:cs="Times New Roman"/>
          <w:kern w:val="0"/>
          <w:sz w:val="20"/>
          <w:szCs w:val="20"/>
          <w14:ligatures w14:val="none"/>
        </w:rPr>
      </w:pPr>
      <w:r w:rsidRPr="00FE0F1B">
        <w:rPr>
          <w:rFonts w:eastAsia="Calibri" w:cs="Times New Roman"/>
          <w:kern w:val="0"/>
          <w:sz w:val="20"/>
          <w:szCs w:val="20"/>
          <w14:ligatures w14:val="none"/>
        </w:rPr>
        <w:t xml:space="preserve">The Archdiocesan Youth Pilgrimage operates under CSSA policies and procedures. </w:t>
      </w:r>
    </w:p>
    <w:p w14:paraId="4DB5ED5D" w14:textId="77777777" w:rsidR="008759FE" w:rsidRPr="00FE0F1B" w:rsidRDefault="008759FE" w:rsidP="008759FE">
      <w:pPr>
        <w:spacing w:line="259" w:lineRule="auto"/>
        <w:rPr>
          <w:rFonts w:eastAsia="Calibri" w:cs="Times New Roman"/>
          <w:kern w:val="0"/>
          <w:sz w:val="20"/>
          <w:szCs w:val="20"/>
          <w14:ligatures w14:val="none"/>
        </w:rPr>
      </w:pPr>
      <w:proofErr w:type="gramStart"/>
      <w:r w:rsidRPr="00FE0F1B">
        <w:rPr>
          <w:rFonts w:eastAsia="Calibri" w:cs="Times New Roman"/>
          <w:kern w:val="0"/>
          <w:sz w:val="20"/>
          <w:szCs w:val="20"/>
          <w14:ligatures w14:val="none"/>
        </w:rPr>
        <w:t>Specifically</w:t>
      </w:r>
      <w:proofErr w:type="gramEnd"/>
      <w:r w:rsidRPr="00FE0F1B">
        <w:rPr>
          <w:rFonts w:eastAsia="Calibri" w:cs="Times New Roman"/>
          <w:kern w:val="0"/>
          <w:sz w:val="20"/>
          <w:szCs w:val="20"/>
          <w14:ligatures w14:val="none"/>
        </w:rPr>
        <w:t xml:space="preserve"> this includes:</w:t>
      </w:r>
    </w:p>
    <w:p w14:paraId="575FDD74" w14:textId="77777777" w:rsidR="008759FE" w:rsidRDefault="008759FE" w:rsidP="008759FE">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 xml:space="preserve">Safer Recruitment Guidance </w:t>
      </w:r>
    </w:p>
    <w:p w14:paraId="280E4120" w14:textId="68FF918B" w:rsidR="00607EEE" w:rsidRPr="00FE0F1B" w:rsidRDefault="00607EEE" w:rsidP="008759FE">
      <w:pPr>
        <w:numPr>
          <w:ilvl w:val="0"/>
          <w:numId w:val="1"/>
        </w:numPr>
        <w:spacing w:line="259" w:lineRule="auto"/>
        <w:contextualSpacing/>
        <w:rPr>
          <w:rFonts w:eastAsia="Calibri" w:cs="Times New Roman"/>
          <w:kern w:val="0"/>
          <w:sz w:val="20"/>
          <w:szCs w:val="20"/>
          <w14:ligatures w14:val="none"/>
        </w:rPr>
      </w:pPr>
      <w:r>
        <w:rPr>
          <w:rFonts w:eastAsia="Calibri" w:cs="Times New Roman"/>
          <w:kern w:val="0"/>
          <w:sz w:val="20"/>
          <w:szCs w:val="20"/>
          <w14:ligatures w14:val="none"/>
        </w:rPr>
        <w:t>Applications under Safer Recruitment</w:t>
      </w:r>
    </w:p>
    <w:p w14:paraId="13BF8EB9" w14:textId="77777777" w:rsidR="008759FE" w:rsidRPr="00FE0F1B" w:rsidRDefault="008759FE" w:rsidP="008759FE">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 xml:space="preserve">Guidance recording a disclosure or allegation </w:t>
      </w:r>
    </w:p>
    <w:p w14:paraId="36D3120B" w14:textId="77777777" w:rsidR="008759FE" w:rsidRPr="00FE0F1B" w:rsidRDefault="008759FE" w:rsidP="008759FE">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 xml:space="preserve">Guidance for arranging pilgrimages involving children and young people and adults at risk </w:t>
      </w:r>
    </w:p>
    <w:p w14:paraId="5A680ABC" w14:textId="146FD428" w:rsidR="008759FE" w:rsidRPr="00B352DA" w:rsidRDefault="008759FE" w:rsidP="008759FE">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Complaints Policy</w:t>
      </w:r>
      <w:r w:rsidR="00B352DA" w:rsidRPr="00FE0F1B">
        <w:rPr>
          <w:rFonts w:eastAsia="Calibri" w:cs="Times New Roman"/>
          <w:kern w:val="0"/>
          <w:sz w:val="20"/>
          <w:szCs w:val="20"/>
          <w14:ligatures w14:val="none"/>
        </w:rPr>
        <w:t>: For making a complaint to the Catholic Safeguarding Standards Agency (CSSA) about a Diocese, Eparchy or Religious Institution in England and Wales</w:t>
      </w:r>
      <w:r w:rsidR="00B352DA" w:rsidRPr="00FE0F1B">
        <w:rPr>
          <w:rFonts w:eastAsia="Calibri" w:cs="Times New Roman"/>
          <w:b/>
          <w:bCs/>
          <w:kern w:val="0"/>
          <w:sz w:val="20"/>
          <w:szCs w:val="20"/>
          <w14:ligatures w14:val="none"/>
        </w:rPr>
        <w:t xml:space="preserve">. </w:t>
      </w:r>
      <w:r w:rsidR="00B352DA" w:rsidRPr="00FE0F1B">
        <w:rPr>
          <w:rFonts w:eastAsia="Calibri" w:cs="Times New Roman"/>
          <w:kern w:val="0"/>
          <w:sz w:val="20"/>
          <w:szCs w:val="20"/>
          <w14:ligatures w14:val="none"/>
        </w:rPr>
        <w:t>The CSSA offers the final stage for unresolved complaints about how a church body has handled a complaint made to it about safeguarding.</w:t>
      </w:r>
    </w:p>
    <w:p w14:paraId="2DAF3875" w14:textId="77777777" w:rsidR="00B352DA" w:rsidRPr="00FE0F1B" w:rsidRDefault="00B352DA" w:rsidP="00B352DA">
      <w:pPr>
        <w:numPr>
          <w:ilvl w:val="0"/>
          <w:numId w:val="1"/>
        </w:numPr>
        <w:spacing w:line="259" w:lineRule="auto"/>
        <w:contextualSpacing/>
        <w:rPr>
          <w:rFonts w:eastAsia="Calibri" w:cs="Times New Roman"/>
          <w:kern w:val="0"/>
          <w:sz w:val="20"/>
          <w:szCs w:val="20"/>
          <w14:ligatures w14:val="none"/>
        </w:rPr>
      </w:pPr>
      <w:r w:rsidRPr="00FE0F1B">
        <w:rPr>
          <w:rFonts w:eastAsia="Calibri" w:cs="Times New Roman"/>
          <w:kern w:val="0"/>
          <w:sz w:val="20"/>
          <w:szCs w:val="20"/>
          <w14:ligatures w14:val="none"/>
        </w:rPr>
        <w:t xml:space="preserve">Whistleblowing Policy </w:t>
      </w:r>
    </w:p>
    <w:p w14:paraId="77DD68D3" w14:textId="77777777" w:rsidR="00B352DA" w:rsidRDefault="00B352DA" w:rsidP="00B352DA">
      <w:pPr>
        <w:spacing w:line="259" w:lineRule="auto"/>
        <w:ind w:left="720"/>
        <w:contextualSpacing/>
        <w:rPr>
          <w:rFonts w:eastAsia="Calibri" w:cs="Times New Roman"/>
          <w:kern w:val="0"/>
          <w:sz w:val="20"/>
          <w:szCs w:val="20"/>
          <w14:ligatures w14:val="none"/>
        </w:rPr>
      </w:pPr>
    </w:p>
    <w:p w14:paraId="088D577D" w14:textId="77777777" w:rsidR="00B352DA" w:rsidRDefault="00B352DA" w:rsidP="00B352DA">
      <w:pPr>
        <w:spacing w:line="259" w:lineRule="auto"/>
        <w:ind w:left="720"/>
        <w:contextualSpacing/>
        <w:rPr>
          <w:rFonts w:eastAsia="Calibri" w:cs="Times New Roman"/>
          <w:kern w:val="0"/>
          <w:sz w:val="20"/>
          <w:szCs w:val="20"/>
          <w14:ligatures w14:val="none"/>
        </w:rPr>
      </w:pPr>
    </w:p>
    <w:p w14:paraId="00EB2181" w14:textId="20E5C7EF" w:rsidR="00B352DA" w:rsidRDefault="00B352DA" w:rsidP="00B352DA">
      <w:pPr>
        <w:spacing w:line="259" w:lineRule="auto"/>
        <w:ind w:left="720"/>
        <w:contextualSpacing/>
        <w:rPr>
          <w:rFonts w:eastAsia="Calibri" w:cs="Times New Roman"/>
          <w:kern w:val="0"/>
          <w:sz w:val="20"/>
          <w:szCs w:val="20"/>
          <w14:ligatures w14:val="none"/>
        </w:rPr>
      </w:pPr>
      <w:r>
        <w:rPr>
          <w:rFonts w:eastAsia="Calibri" w:cs="Times New Roman"/>
          <w:kern w:val="0"/>
          <w:sz w:val="20"/>
          <w:szCs w:val="20"/>
          <w14:ligatures w14:val="none"/>
        </w:rPr>
        <w:t xml:space="preserve">The </w:t>
      </w:r>
      <w:proofErr w:type="gramStart"/>
      <w:r>
        <w:rPr>
          <w:rFonts w:eastAsia="Calibri" w:cs="Times New Roman"/>
          <w:kern w:val="0"/>
          <w:sz w:val="20"/>
          <w:szCs w:val="20"/>
          <w14:ligatures w14:val="none"/>
        </w:rPr>
        <w:t>Archdiocese</w:t>
      </w:r>
      <w:proofErr w:type="gramEnd"/>
      <w:r>
        <w:rPr>
          <w:rFonts w:eastAsia="Calibri" w:cs="Times New Roman"/>
          <w:kern w:val="0"/>
          <w:sz w:val="20"/>
          <w:szCs w:val="20"/>
          <w14:ligatures w14:val="none"/>
        </w:rPr>
        <w:t xml:space="preserve"> also has its own policies on:</w:t>
      </w:r>
    </w:p>
    <w:p w14:paraId="6DD18FA1" w14:textId="0CE1E00B" w:rsidR="00B352DA" w:rsidRPr="00B352DA" w:rsidRDefault="00B352DA" w:rsidP="00B352DA">
      <w:pPr>
        <w:pStyle w:val="ListParagraph"/>
        <w:numPr>
          <w:ilvl w:val="0"/>
          <w:numId w:val="1"/>
        </w:numPr>
        <w:spacing w:line="259" w:lineRule="auto"/>
        <w:rPr>
          <w:rFonts w:eastAsia="Calibri" w:cs="Times New Roman"/>
          <w:kern w:val="0"/>
          <w:sz w:val="20"/>
          <w:szCs w:val="20"/>
          <w14:ligatures w14:val="none"/>
        </w:rPr>
      </w:pPr>
      <w:r w:rsidRPr="00B352DA">
        <w:rPr>
          <w:rFonts w:eastAsia="Calibri" w:cs="Times New Roman"/>
          <w:kern w:val="0"/>
          <w:sz w:val="20"/>
          <w:szCs w:val="20"/>
          <w14:ligatures w14:val="none"/>
        </w:rPr>
        <w:t>Complaints: For making a complaint against the Archdiocese of Liverpool or one its employees, volunteers or those acting on its behalf. Complaints related to the conduct of priests, deacons or seminarians should be directed to the Archbishop of Liverpool.</w:t>
      </w:r>
    </w:p>
    <w:p w14:paraId="15743D69" w14:textId="18FB4952" w:rsidR="00B352DA" w:rsidRPr="00B352DA" w:rsidRDefault="00B352DA" w:rsidP="00B352DA">
      <w:pPr>
        <w:pStyle w:val="ListParagraph"/>
        <w:numPr>
          <w:ilvl w:val="0"/>
          <w:numId w:val="1"/>
        </w:numPr>
        <w:spacing w:line="259" w:lineRule="auto"/>
        <w:rPr>
          <w:rFonts w:eastAsia="Calibri" w:cs="Times New Roman"/>
          <w:kern w:val="0"/>
          <w:sz w:val="20"/>
          <w:szCs w:val="20"/>
          <w14:ligatures w14:val="none"/>
        </w:rPr>
      </w:pPr>
      <w:r w:rsidRPr="00B352DA">
        <w:rPr>
          <w:rFonts w:eastAsia="Calibri" w:cs="Times New Roman"/>
          <w:kern w:val="0"/>
          <w:sz w:val="20"/>
          <w:szCs w:val="20"/>
          <w14:ligatures w14:val="none"/>
        </w:rPr>
        <w:t>Privacy</w:t>
      </w:r>
    </w:p>
    <w:p w14:paraId="657463EE" w14:textId="77777777" w:rsidR="00B352DA" w:rsidRDefault="00B352DA" w:rsidP="008759FE">
      <w:pPr>
        <w:spacing w:line="259" w:lineRule="auto"/>
        <w:rPr>
          <w:rFonts w:eastAsia="Calibri" w:cs="Times New Roman"/>
          <w:kern w:val="0"/>
          <w:sz w:val="20"/>
          <w:szCs w:val="20"/>
          <w14:ligatures w14:val="none"/>
        </w:rPr>
      </w:pPr>
    </w:p>
    <w:p w14:paraId="32EF6338" w14:textId="36D7851E" w:rsidR="00B352DA" w:rsidRDefault="00B352DA" w:rsidP="008759FE">
      <w:pPr>
        <w:spacing w:line="259" w:lineRule="auto"/>
        <w:rPr>
          <w:rFonts w:eastAsia="Calibri" w:cs="Times New Roman"/>
          <w:kern w:val="0"/>
          <w:sz w:val="20"/>
          <w:szCs w:val="20"/>
          <w14:ligatures w14:val="none"/>
        </w:rPr>
      </w:pPr>
      <w:r>
        <w:rPr>
          <w:rFonts w:eastAsia="Calibri" w:cs="Times New Roman"/>
          <w:kern w:val="0"/>
          <w:sz w:val="20"/>
          <w:szCs w:val="20"/>
          <w14:ligatures w14:val="none"/>
        </w:rPr>
        <w:t xml:space="preserve">The Youth Pilgrimage has used guidance from the CSSA to create bespoke: </w:t>
      </w:r>
    </w:p>
    <w:p w14:paraId="7B442365" w14:textId="107B4A21" w:rsidR="00B352DA" w:rsidRPr="00B352DA" w:rsidRDefault="00B352DA" w:rsidP="00B352DA">
      <w:pPr>
        <w:pStyle w:val="ListParagraph"/>
        <w:numPr>
          <w:ilvl w:val="0"/>
          <w:numId w:val="4"/>
        </w:numPr>
        <w:spacing w:line="259" w:lineRule="auto"/>
        <w:rPr>
          <w:rFonts w:eastAsia="Calibri" w:cs="Times New Roman"/>
          <w:kern w:val="0"/>
          <w:sz w:val="20"/>
          <w:szCs w:val="20"/>
          <w14:ligatures w14:val="none"/>
        </w:rPr>
      </w:pPr>
      <w:r w:rsidRPr="00B352DA">
        <w:rPr>
          <w:rFonts w:eastAsia="Calibri" w:cs="Times New Roman"/>
          <w:kern w:val="0"/>
          <w:sz w:val="20"/>
          <w:szCs w:val="20"/>
          <w14:ligatures w14:val="none"/>
        </w:rPr>
        <w:t>How to record a disclosure</w:t>
      </w:r>
    </w:p>
    <w:p w14:paraId="25495F79" w14:textId="77777777" w:rsidR="00607EEE" w:rsidRDefault="00B352DA" w:rsidP="00B352DA">
      <w:pPr>
        <w:pStyle w:val="ListParagraph"/>
        <w:numPr>
          <w:ilvl w:val="0"/>
          <w:numId w:val="4"/>
        </w:numPr>
        <w:spacing w:line="259" w:lineRule="auto"/>
        <w:rPr>
          <w:rFonts w:eastAsia="Calibri" w:cs="Times New Roman"/>
          <w:kern w:val="0"/>
          <w:sz w:val="20"/>
          <w:szCs w:val="20"/>
          <w14:ligatures w14:val="none"/>
        </w:rPr>
      </w:pPr>
      <w:r w:rsidRPr="00B352DA">
        <w:rPr>
          <w:rFonts w:eastAsia="Calibri" w:cs="Times New Roman"/>
          <w:kern w:val="0"/>
          <w:sz w:val="20"/>
          <w:szCs w:val="20"/>
          <w14:ligatures w14:val="none"/>
        </w:rPr>
        <w:t xml:space="preserve">Safer recruitment policy </w:t>
      </w:r>
    </w:p>
    <w:p w14:paraId="757F21B7" w14:textId="50B0AF7E" w:rsidR="00B352DA" w:rsidRPr="00B352DA" w:rsidRDefault="00B352DA" w:rsidP="00B352DA">
      <w:pPr>
        <w:pStyle w:val="ListParagraph"/>
        <w:numPr>
          <w:ilvl w:val="0"/>
          <w:numId w:val="4"/>
        </w:numPr>
        <w:spacing w:line="259" w:lineRule="auto"/>
        <w:rPr>
          <w:rFonts w:eastAsia="Calibri" w:cs="Times New Roman"/>
          <w:kern w:val="0"/>
          <w:sz w:val="20"/>
          <w:szCs w:val="20"/>
          <w14:ligatures w14:val="none"/>
        </w:rPr>
      </w:pPr>
      <w:r w:rsidRPr="00B352DA">
        <w:rPr>
          <w:rFonts w:eastAsia="Calibri" w:cs="Times New Roman"/>
          <w:kern w:val="0"/>
          <w:sz w:val="20"/>
          <w:szCs w:val="20"/>
          <w14:ligatures w14:val="none"/>
        </w:rPr>
        <w:t>Roles and Responsibilities for the Youth Pilgrimage</w:t>
      </w:r>
    </w:p>
    <w:p w14:paraId="61255AFF" w14:textId="77777777" w:rsidR="008759FE" w:rsidRPr="00FE0F1B" w:rsidRDefault="008759FE" w:rsidP="008759FE">
      <w:pPr>
        <w:spacing w:line="259" w:lineRule="auto"/>
        <w:rPr>
          <w:rFonts w:eastAsia="Calibri" w:cs="Times New Roman"/>
          <w:kern w:val="0"/>
          <w:sz w:val="20"/>
          <w:szCs w:val="20"/>
          <w14:ligatures w14:val="none"/>
        </w:rPr>
      </w:pPr>
    </w:p>
    <w:p w14:paraId="7120DFFF" w14:textId="19DA0D40" w:rsidR="008759FE" w:rsidRDefault="00B352DA" w:rsidP="008759FE">
      <w:pPr>
        <w:spacing w:line="259" w:lineRule="auto"/>
        <w:rPr>
          <w:rFonts w:eastAsia="Calibri" w:cs="Times New Roman"/>
          <w:kern w:val="0"/>
          <w:sz w:val="20"/>
          <w:szCs w:val="20"/>
          <w14:ligatures w14:val="none"/>
        </w:rPr>
      </w:pPr>
      <w:r>
        <w:rPr>
          <w:rFonts w:eastAsia="Calibri" w:cs="Times New Roman"/>
          <w:kern w:val="0"/>
          <w:sz w:val="20"/>
          <w:szCs w:val="20"/>
          <w14:ligatures w14:val="none"/>
        </w:rPr>
        <w:t>All documents noted above can be found in this folder.</w:t>
      </w:r>
    </w:p>
    <w:p w14:paraId="6B6C7538" w14:textId="70E9E56F" w:rsidR="00B352DA" w:rsidRPr="00FE0F1B" w:rsidRDefault="00B352DA" w:rsidP="008759FE">
      <w:pPr>
        <w:spacing w:line="259" w:lineRule="auto"/>
        <w:rPr>
          <w:rFonts w:eastAsia="Calibri" w:cs="Times New Roman"/>
          <w:kern w:val="0"/>
          <w:sz w:val="20"/>
          <w:szCs w:val="20"/>
          <w14:ligatures w14:val="none"/>
        </w:rPr>
      </w:pPr>
      <w:r>
        <w:rPr>
          <w:rFonts w:eastAsia="Calibri" w:cs="Times New Roman"/>
          <w:kern w:val="0"/>
          <w:sz w:val="20"/>
          <w:szCs w:val="20"/>
          <w14:ligatures w14:val="none"/>
        </w:rPr>
        <w:t>Other documents and policies that may be used or adapted on an ad hoc basis through the pilgrimage year can be found at</w:t>
      </w:r>
    </w:p>
    <w:p w14:paraId="153E210A" w14:textId="093384C4" w:rsidR="008759FE" w:rsidRPr="00FE0F1B" w:rsidRDefault="00000000" w:rsidP="008759FE">
      <w:pPr>
        <w:spacing w:line="259" w:lineRule="auto"/>
        <w:rPr>
          <w:rFonts w:eastAsia="Calibri" w:cs="Times New Roman"/>
          <w:kern w:val="0"/>
          <w:sz w:val="20"/>
          <w:szCs w:val="20"/>
          <w14:ligatures w14:val="none"/>
        </w:rPr>
      </w:pPr>
      <w:hyperlink r:id="rId5" w:history="1">
        <w:r w:rsidR="008759FE" w:rsidRPr="00FE0F1B">
          <w:rPr>
            <w:rFonts w:eastAsia="Calibri" w:cs="Times New Roman"/>
            <w:color w:val="0563C1"/>
            <w:kern w:val="0"/>
            <w:sz w:val="20"/>
            <w:szCs w:val="20"/>
            <w:u w:val="single"/>
            <w14:ligatures w14:val="none"/>
          </w:rPr>
          <w:t>https://catholicsafeguarding.org.uk/resources/practice-guida</w:t>
        </w:r>
        <w:r w:rsidR="008759FE" w:rsidRPr="00FE0F1B">
          <w:rPr>
            <w:rFonts w:eastAsia="Calibri" w:cs="Times New Roman"/>
            <w:color w:val="0563C1"/>
            <w:kern w:val="0"/>
            <w:sz w:val="20"/>
            <w:szCs w:val="20"/>
            <w:u w:val="single"/>
            <w14:ligatures w14:val="none"/>
          </w:rPr>
          <w:t>n</w:t>
        </w:r>
        <w:r w:rsidR="008759FE" w:rsidRPr="00FE0F1B">
          <w:rPr>
            <w:rFonts w:eastAsia="Calibri" w:cs="Times New Roman"/>
            <w:color w:val="0563C1"/>
            <w:kern w:val="0"/>
            <w:sz w:val="20"/>
            <w:szCs w:val="20"/>
            <w:u w:val="single"/>
            <w14:ligatures w14:val="none"/>
          </w:rPr>
          <w:t>ce/</w:t>
        </w:r>
      </w:hyperlink>
    </w:p>
    <w:p w14:paraId="452DC80C" w14:textId="77777777" w:rsidR="008759FE" w:rsidRDefault="008759FE"/>
    <w:sectPr w:rsidR="008759FE" w:rsidSect="00652B36">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Ligh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6E55"/>
    <w:multiLevelType w:val="multilevel"/>
    <w:tmpl w:val="042099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2C161B8"/>
    <w:multiLevelType w:val="hybridMultilevel"/>
    <w:tmpl w:val="CBB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D1F5D"/>
    <w:multiLevelType w:val="hybridMultilevel"/>
    <w:tmpl w:val="7F3C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EA2217"/>
    <w:multiLevelType w:val="hybridMultilevel"/>
    <w:tmpl w:val="9F1A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192528">
    <w:abstractNumId w:val="2"/>
  </w:num>
  <w:num w:numId="2" w16cid:durableId="1524594145">
    <w:abstractNumId w:val="0"/>
  </w:num>
  <w:num w:numId="3" w16cid:durableId="1638801571">
    <w:abstractNumId w:val="1"/>
  </w:num>
  <w:num w:numId="4" w16cid:durableId="1878084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FE"/>
    <w:rsid w:val="000A7D48"/>
    <w:rsid w:val="00607EEE"/>
    <w:rsid w:val="00652B36"/>
    <w:rsid w:val="00694566"/>
    <w:rsid w:val="006F3795"/>
    <w:rsid w:val="008759FE"/>
    <w:rsid w:val="00B352DA"/>
    <w:rsid w:val="00BF5AF9"/>
    <w:rsid w:val="00CB5556"/>
    <w:rsid w:val="00D02979"/>
    <w:rsid w:val="00FB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8DEE"/>
  <w15:chartTrackingRefBased/>
  <w15:docId w15:val="{A58B20D6-74A9-415F-9114-2B6DBDA7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hnschrift SemiLight" w:eastAsiaTheme="minorHAnsi" w:hAnsi="Bahnschrift SemiLight"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9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9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59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59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59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59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59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9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9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59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59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59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59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59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5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9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9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59FE"/>
    <w:pPr>
      <w:spacing w:before="160"/>
      <w:jc w:val="center"/>
    </w:pPr>
    <w:rPr>
      <w:i/>
      <w:iCs/>
      <w:color w:val="404040" w:themeColor="text1" w:themeTint="BF"/>
    </w:rPr>
  </w:style>
  <w:style w:type="character" w:customStyle="1" w:styleId="QuoteChar">
    <w:name w:val="Quote Char"/>
    <w:basedOn w:val="DefaultParagraphFont"/>
    <w:link w:val="Quote"/>
    <w:uiPriority w:val="29"/>
    <w:rsid w:val="008759FE"/>
    <w:rPr>
      <w:i/>
      <w:iCs/>
      <w:color w:val="404040" w:themeColor="text1" w:themeTint="BF"/>
    </w:rPr>
  </w:style>
  <w:style w:type="paragraph" w:styleId="ListParagraph">
    <w:name w:val="List Paragraph"/>
    <w:basedOn w:val="Normal"/>
    <w:uiPriority w:val="34"/>
    <w:qFormat/>
    <w:rsid w:val="008759FE"/>
    <w:pPr>
      <w:ind w:left="720"/>
      <w:contextualSpacing/>
    </w:pPr>
  </w:style>
  <w:style w:type="character" w:styleId="IntenseEmphasis">
    <w:name w:val="Intense Emphasis"/>
    <w:basedOn w:val="DefaultParagraphFont"/>
    <w:uiPriority w:val="21"/>
    <w:qFormat/>
    <w:rsid w:val="008759FE"/>
    <w:rPr>
      <w:i/>
      <w:iCs/>
      <w:color w:val="0F4761" w:themeColor="accent1" w:themeShade="BF"/>
    </w:rPr>
  </w:style>
  <w:style w:type="paragraph" w:styleId="IntenseQuote">
    <w:name w:val="Intense Quote"/>
    <w:basedOn w:val="Normal"/>
    <w:next w:val="Normal"/>
    <w:link w:val="IntenseQuoteChar"/>
    <w:uiPriority w:val="30"/>
    <w:qFormat/>
    <w:rsid w:val="00875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9FE"/>
    <w:rPr>
      <w:i/>
      <w:iCs/>
      <w:color w:val="0F4761" w:themeColor="accent1" w:themeShade="BF"/>
    </w:rPr>
  </w:style>
  <w:style w:type="character" w:styleId="IntenseReference">
    <w:name w:val="Intense Reference"/>
    <w:basedOn w:val="DefaultParagraphFont"/>
    <w:uiPriority w:val="32"/>
    <w:qFormat/>
    <w:rsid w:val="00875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tholicsafeguarding.org.uk/resources/practice-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2</cp:revision>
  <dcterms:created xsi:type="dcterms:W3CDTF">2024-09-10T11:41:00Z</dcterms:created>
  <dcterms:modified xsi:type="dcterms:W3CDTF">2024-09-10T12:48:00Z</dcterms:modified>
</cp:coreProperties>
</file>